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68AC4E38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0E6A56">
        <w:rPr>
          <w:bCs/>
          <w:noProof w:val="0"/>
          <w:sz w:val="24"/>
          <w:lang w:val="en-GB"/>
        </w:rPr>
        <w:t>3GPP TSG-RAN WG2 Meeting #11</w:t>
      </w:r>
      <w:r w:rsidR="00595404">
        <w:rPr>
          <w:bCs/>
          <w:noProof w:val="0"/>
          <w:sz w:val="24"/>
          <w:lang w:val="en-GB"/>
        </w:rPr>
        <w:t>2</w:t>
      </w:r>
      <w:r w:rsidRPr="000E6A56">
        <w:rPr>
          <w:bCs/>
          <w:noProof w:val="0"/>
          <w:sz w:val="24"/>
          <w:lang w:val="en-GB"/>
        </w:rPr>
        <w:t xml:space="preserve"> electronic</w:t>
      </w:r>
      <w:r w:rsidR="00195A48" w:rsidRPr="002274CF">
        <w:rPr>
          <w:bCs/>
          <w:noProof w:val="0"/>
          <w:sz w:val="24"/>
          <w:lang w:val="en-GB"/>
        </w:rPr>
        <w:tab/>
      </w:r>
      <w:r w:rsidR="004510AC" w:rsidRPr="002274CF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BC2AA3" w:rsidRPr="002274CF">
        <w:rPr>
          <w:bCs/>
          <w:noProof w:val="0"/>
          <w:color w:val="000000"/>
          <w:sz w:val="24"/>
          <w:lang w:val="en-GB" w:eastAsia="ja-JP"/>
        </w:rPr>
        <w:t>R2-</w:t>
      </w:r>
      <w:r w:rsidR="00FA4E53" w:rsidRPr="00FA4E53">
        <w:rPr>
          <w:bCs/>
          <w:noProof w:val="0"/>
          <w:color w:val="000000"/>
          <w:sz w:val="24"/>
          <w:lang w:val="en-GB" w:eastAsia="ja-JP"/>
        </w:rPr>
        <w:t>2010113</w:t>
      </w:r>
    </w:p>
    <w:p w14:paraId="6EB87972" w14:textId="02B308BA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Online</w:t>
      </w:r>
      <w:r w:rsidR="005075F1" w:rsidRPr="002274CF">
        <w:rPr>
          <w:bCs/>
          <w:noProof w:val="0"/>
          <w:sz w:val="24"/>
          <w:lang w:val="en-GB"/>
        </w:rPr>
        <w:t xml:space="preserve"> Meeting</w:t>
      </w:r>
      <w:r w:rsidR="003D1DA0" w:rsidRPr="002274CF">
        <w:rPr>
          <w:bCs/>
          <w:noProof w:val="0"/>
          <w:sz w:val="24"/>
          <w:lang w:val="en-GB"/>
        </w:rPr>
        <w:t>,</w:t>
      </w:r>
      <w:r w:rsidR="00C46B10" w:rsidRPr="002274CF">
        <w:rPr>
          <w:bCs/>
          <w:noProof w:val="0"/>
          <w:sz w:val="24"/>
          <w:lang w:val="en-GB"/>
        </w:rPr>
        <w:t xml:space="preserve"> </w:t>
      </w:r>
      <w:r w:rsidR="00585EBA" w:rsidRPr="00585EBA">
        <w:rPr>
          <w:bCs/>
          <w:noProof w:val="0"/>
          <w:sz w:val="24"/>
          <w:lang w:val="en-GB"/>
        </w:rPr>
        <w:t>November 2nd – 13th, 2020</w:t>
      </w:r>
      <w:r w:rsidR="00B34E44" w:rsidRPr="002274CF">
        <w:rPr>
          <w:bCs/>
          <w:noProof w:val="0"/>
          <w:sz w:val="24"/>
          <w:lang w:val="en-GB"/>
        </w:rPr>
        <w:tab/>
      </w:r>
    </w:p>
    <w:p w14:paraId="6EB87973" w14:textId="72BF9ACF" w:rsidR="00B4542E" w:rsidRPr="002274C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2274CF">
        <w:rPr>
          <w:bCs/>
          <w:noProof w:val="0"/>
          <w:sz w:val="24"/>
          <w:lang w:val="en-GB"/>
        </w:rPr>
        <w:tab/>
      </w:r>
    </w:p>
    <w:p w14:paraId="6EB87974" w14:textId="369AF38D" w:rsidR="00B4542E" w:rsidRPr="002274C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2274CF">
        <w:rPr>
          <w:rFonts w:cs="Arial"/>
          <w:b/>
          <w:bCs/>
          <w:sz w:val="24"/>
        </w:rPr>
        <w:t>Agenda item:</w:t>
      </w:r>
      <w:r w:rsidRPr="002274CF">
        <w:rPr>
          <w:rFonts w:cs="Arial"/>
          <w:b/>
          <w:bCs/>
          <w:sz w:val="24"/>
        </w:rPr>
        <w:tab/>
      </w:r>
      <w:r w:rsidR="00695E6B" w:rsidRPr="00695E6B">
        <w:rPr>
          <w:rFonts w:cs="Arial"/>
          <w:b/>
          <w:bCs/>
          <w:sz w:val="24"/>
        </w:rPr>
        <w:t>8.12.3</w:t>
      </w:r>
      <w:r w:rsidR="00695E6B">
        <w:rPr>
          <w:rFonts w:cs="Arial"/>
          <w:b/>
          <w:bCs/>
          <w:sz w:val="24"/>
        </w:rPr>
        <w:t xml:space="preserve"> </w:t>
      </w:r>
      <w:r w:rsidR="00695E6B" w:rsidRPr="00695E6B">
        <w:rPr>
          <w:rFonts w:cs="Arial"/>
          <w:b/>
          <w:bCs/>
          <w:sz w:val="24"/>
        </w:rPr>
        <w:t>UE power saving and battery lifetime enhancement</w:t>
      </w:r>
      <w:r w:rsidR="00695E6B" w:rsidRPr="00695E6B" w:rsidDel="00ED2494">
        <w:rPr>
          <w:rFonts w:cs="Arial"/>
          <w:b/>
          <w:bCs/>
          <w:sz w:val="24"/>
          <w:highlight w:val="yellow"/>
        </w:rPr>
        <w:t xml:space="preserve"> </w:t>
      </w:r>
    </w:p>
    <w:p w14:paraId="6EB87975" w14:textId="0DBF31B0" w:rsidR="00B4542E" w:rsidRPr="002274C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Source:</w:t>
      </w:r>
      <w:r w:rsidRPr="002274CF">
        <w:rPr>
          <w:rFonts w:ascii="Arial" w:hAnsi="Arial" w:cs="Arial"/>
          <w:b/>
          <w:bCs/>
          <w:sz w:val="24"/>
        </w:rPr>
        <w:tab/>
        <w:t>Convida Wireless</w:t>
      </w:r>
      <w:r w:rsidR="005242B7" w:rsidRPr="002274CF">
        <w:rPr>
          <w:rFonts w:ascii="Arial" w:hAnsi="Arial" w:cs="Arial"/>
          <w:b/>
          <w:bCs/>
          <w:sz w:val="24"/>
        </w:rPr>
        <w:tab/>
      </w:r>
    </w:p>
    <w:p w14:paraId="6EB87976" w14:textId="465F94B2" w:rsidR="00B4542E" w:rsidRPr="002274C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Title:</w:t>
      </w:r>
      <w:r w:rsidRPr="002274CF">
        <w:rPr>
          <w:rFonts w:ascii="Arial" w:hAnsi="Arial" w:cs="Arial"/>
          <w:b/>
          <w:bCs/>
          <w:sz w:val="24"/>
        </w:rPr>
        <w:tab/>
      </w:r>
      <w:r w:rsidR="00246049">
        <w:rPr>
          <w:rFonts w:ascii="Arial" w:hAnsi="Arial" w:cs="Arial"/>
          <w:b/>
          <w:bCs/>
          <w:sz w:val="24"/>
        </w:rPr>
        <w:t xml:space="preserve">eDRX </w:t>
      </w:r>
      <w:r w:rsidR="00363496">
        <w:rPr>
          <w:rFonts w:ascii="Arial" w:hAnsi="Arial" w:cs="Arial"/>
          <w:b/>
          <w:bCs/>
          <w:sz w:val="24"/>
        </w:rPr>
        <w:t>for Reduced Capability NR Devices</w:t>
      </w:r>
      <w:r w:rsidR="00246049">
        <w:rPr>
          <w:rFonts w:ascii="Arial" w:hAnsi="Arial" w:cs="Arial"/>
          <w:b/>
          <w:bCs/>
          <w:sz w:val="24"/>
        </w:rPr>
        <w:t xml:space="preserve"> </w:t>
      </w:r>
    </w:p>
    <w:p w14:paraId="6EB87977" w14:textId="5CC38537" w:rsidR="00B4542E" w:rsidRPr="002274CF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Document for:</w:t>
      </w:r>
      <w:r w:rsidRPr="002274CF">
        <w:rPr>
          <w:rFonts w:ascii="Arial" w:hAnsi="Arial" w:cs="Arial"/>
          <w:b/>
          <w:bCs/>
          <w:sz w:val="24"/>
        </w:rPr>
        <w:tab/>
      </w:r>
      <w:r w:rsidR="004330DD" w:rsidRPr="002274C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2274CF" w:rsidRDefault="00B4542E" w:rsidP="001A0BAE">
      <w:pPr>
        <w:pStyle w:val="Heading1"/>
        <w:rPr>
          <w:lang w:val="en-GB"/>
        </w:rPr>
      </w:pPr>
      <w:r w:rsidRPr="002274CF">
        <w:rPr>
          <w:lang w:val="en-GB"/>
        </w:rPr>
        <w:t>Introduction</w:t>
      </w:r>
    </w:p>
    <w:p w14:paraId="3D1D1492" w14:textId="170C31C8" w:rsidR="00C90474" w:rsidRDefault="00C90474" w:rsidP="00C90474">
      <w:pPr>
        <w:pStyle w:val="BodyText"/>
      </w:pPr>
      <w:r>
        <w:t>The following agreements on eDRX for REDCAP UEs were achieved in RAN2#111-e:</w:t>
      </w:r>
    </w:p>
    <w:p w14:paraId="1FAB095F" w14:textId="77777777" w:rsidR="00C90474" w:rsidRDefault="00C90474" w:rsidP="00C904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F933D4D" w14:textId="77777777" w:rsidR="00C90474" w:rsidRDefault="00C90474" w:rsidP="00C90474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study eDRX mechanism for both RRC_IDLE and RRC_INACTIVE in this SI. ‎</w:t>
      </w:r>
    </w:p>
    <w:p w14:paraId="4EA3B13A" w14:textId="77777777" w:rsidR="00C90474" w:rsidRDefault="00C90474" w:rsidP="00C90474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RRC_INACTIVE, the DRX cycle is extended to 10.24s as baseline. </w:t>
      </w:r>
    </w:p>
    <w:p w14:paraId="78D2DA74" w14:textId="77777777" w:rsidR="00C90474" w:rsidRDefault="00C90474" w:rsidP="00C90474">
      <w:pPr>
        <w:pStyle w:val="Comments"/>
      </w:pPr>
    </w:p>
    <w:p w14:paraId="4C1392EB" w14:textId="77777777" w:rsidR="00C90474" w:rsidRDefault="00C90474" w:rsidP="00C904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111:</w:t>
      </w:r>
    </w:p>
    <w:p w14:paraId="25F8281A" w14:textId="77777777" w:rsidR="00C90474" w:rsidRDefault="00C90474" w:rsidP="00C9047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RRC_IDLE, the DRX cycle is at least extended to 10.24s. </w:t>
      </w:r>
      <w:r w:rsidRPr="0099592E">
        <w:rPr>
          <w:highlight w:val="yellow"/>
        </w:rPr>
        <w:t>FFS on further extension ‎beyond 10.24s</w:t>
      </w:r>
      <w:r>
        <w:t xml:space="preserve">.  </w:t>
      </w:r>
    </w:p>
    <w:p w14:paraId="3C27220C" w14:textId="77777777" w:rsidR="00C90474" w:rsidRDefault="00C90474" w:rsidP="00C90474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RRC_IDLE and/or RRC_INACTIVE, if the NR DRX cycle range is extended beyond 10.24s, the LTE ‎eDRX mechanism beyond 10.24s (e.g., PTW, PH, etc.) is used as baseline when NR eDRX cycle is configured beyond 10.24s. </w:t>
      </w:r>
    </w:p>
    <w:p w14:paraId="4451ED77" w14:textId="77777777" w:rsidR="00C90474" w:rsidRDefault="00C90474" w:rsidP="00C904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0FD689" w14:textId="77777777" w:rsidR="00C90474" w:rsidRDefault="00C90474" w:rsidP="00C9047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</w:t>
      </w:r>
    </w:p>
    <w:p w14:paraId="78A5F33F" w14:textId="77777777" w:rsidR="00C90474" w:rsidRDefault="00C90474" w:rsidP="00C90474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RRC_IDLE and/or RRC_INACTIVE, </w:t>
      </w:r>
      <w:r w:rsidRPr="0099592E">
        <w:rPr>
          <w:highlight w:val="yellow"/>
        </w:rPr>
        <w:t>FFS on baseline mechanism when the configured NR eDRX cycle is less or equal to 10.24s</w:t>
      </w:r>
    </w:p>
    <w:p w14:paraId="4484605F" w14:textId="77777777" w:rsidR="00230821" w:rsidRPr="00C90474" w:rsidRDefault="00230821" w:rsidP="00230821">
      <w:pPr>
        <w:rPr>
          <w:lang w:val="x-none"/>
        </w:rPr>
      </w:pPr>
    </w:p>
    <w:p w14:paraId="2571F993" w14:textId="08643942" w:rsidR="00230821" w:rsidRDefault="00230821" w:rsidP="00B37C34">
      <w:r>
        <w:t xml:space="preserve">In this contribution, we discuss the design motivations </w:t>
      </w:r>
      <w:r w:rsidR="00272DA7">
        <w:t>on further ext</w:t>
      </w:r>
      <w:r w:rsidR="00BF1F75">
        <w:t>ension of RRC_IDLE</w:t>
      </w:r>
      <w:r w:rsidR="001B16AF">
        <w:t>/RRC_INACTIVE</w:t>
      </w:r>
      <w:r w:rsidR="00BF1F75">
        <w:t xml:space="preserve"> </w:t>
      </w:r>
      <w:r w:rsidR="00D43C94">
        <w:t>DRX cycle beyond 10.24</w:t>
      </w:r>
      <w:r w:rsidR="006B7DC3">
        <w:t>s</w:t>
      </w:r>
      <w:r w:rsidR="00B37C34">
        <w:t xml:space="preserve"> for some of the </w:t>
      </w:r>
      <w:r>
        <w:t>reduce</w:t>
      </w:r>
      <w:r w:rsidR="00D629F5">
        <w:t>d</w:t>
      </w:r>
      <w:r>
        <w:t xml:space="preserve"> capability NR devices such as </w:t>
      </w:r>
      <w:r w:rsidRPr="00AD66B1">
        <w:t xml:space="preserve">massive industrial wireless sensor network (IWSN) </w:t>
      </w:r>
      <w:r w:rsidR="00C1285F">
        <w:t>devices. These</w:t>
      </w:r>
      <w:r>
        <w:t xml:space="preserve"> </w:t>
      </w:r>
      <w:r w:rsidR="00C1285F">
        <w:t xml:space="preserve">devices </w:t>
      </w:r>
      <w:r>
        <w:t xml:space="preserve">involve </w:t>
      </w:r>
      <w:r w:rsidRPr="004C3043">
        <w:t>relatively low-end services with the requirement of small device form factors, and/or being completely wireless with a battery life of several years</w:t>
      </w:r>
      <w:r>
        <w:t xml:space="preserve">. </w:t>
      </w:r>
    </w:p>
    <w:p w14:paraId="6EB8798B" w14:textId="0BEB2913" w:rsidR="00C46139" w:rsidRPr="002274CF" w:rsidRDefault="00652339" w:rsidP="0006459B">
      <w:pPr>
        <w:pStyle w:val="Heading1"/>
        <w:rPr>
          <w:lang w:val="en-GB"/>
        </w:rPr>
      </w:pPr>
      <w:r w:rsidRPr="002274CF">
        <w:rPr>
          <w:lang w:val="en-GB"/>
        </w:rPr>
        <w:t>Discussion</w:t>
      </w:r>
    </w:p>
    <w:p w14:paraId="2D53AE14" w14:textId="23E338FE" w:rsidR="00331B96" w:rsidRDefault="00C1285F" w:rsidP="00D841AD">
      <w:pPr>
        <w:spacing w:after="0"/>
        <w:rPr>
          <w:rFonts w:eastAsiaTheme="minorEastAsia"/>
          <w:lang w:eastAsia="zh-CN"/>
        </w:rPr>
      </w:pPr>
      <w:bookmarkStart w:id="0" w:name="_Hlk525905422"/>
      <w:r>
        <w:t xml:space="preserve">Reduced capability NR devices include use cases such as </w:t>
      </w:r>
      <w:r w:rsidRPr="00E01E3F">
        <w:t>massive industrial wireless sensor network (IWSN)</w:t>
      </w:r>
      <w:r>
        <w:t xml:space="preserve">. </w:t>
      </w:r>
      <w:r w:rsidR="009A1625" w:rsidRPr="007A6C91">
        <w:rPr>
          <w:rFonts w:eastAsiaTheme="minorEastAsia"/>
          <w:lang w:eastAsia="zh-CN"/>
        </w:rPr>
        <w:t xml:space="preserve">Based </w:t>
      </w:r>
      <w:r w:rsidR="009A1625">
        <w:rPr>
          <w:rFonts w:eastAsiaTheme="minorEastAsia"/>
          <w:lang w:eastAsia="zh-CN"/>
        </w:rPr>
        <w:t xml:space="preserve">on </w:t>
      </w:r>
      <w:r w:rsidR="00222221" w:rsidRPr="007A6C91">
        <w:rPr>
          <w:rFonts w:eastAsiaTheme="minorEastAsia"/>
          <w:lang w:eastAsia="zh-CN"/>
        </w:rPr>
        <w:t xml:space="preserve">service performance requirements </w:t>
      </w:r>
      <w:r w:rsidR="00222221">
        <w:rPr>
          <w:rFonts w:eastAsiaTheme="minorEastAsia"/>
          <w:lang w:eastAsia="zh-CN"/>
        </w:rPr>
        <w:t xml:space="preserve">for </w:t>
      </w:r>
      <w:r w:rsidR="009A1625" w:rsidRPr="007A6C91">
        <w:rPr>
          <w:rFonts w:eastAsiaTheme="minorEastAsia"/>
          <w:lang w:eastAsia="zh-CN"/>
        </w:rPr>
        <w:t xml:space="preserve">industrial wireless sensors defined in </w:t>
      </w:r>
      <w:r w:rsidR="009A1625">
        <w:rPr>
          <w:rFonts w:eastAsiaTheme="minorEastAsia"/>
          <w:lang w:eastAsia="zh-CN"/>
        </w:rPr>
        <w:t>Table 5.2-2 of TS 22.104</w:t>
      </w:r>
      <w:r w:rsidR="00040C0B">
        <w:rPr>
          <w:rFonts w:eastAsiaTheme="minorEastAsia"/>
          <w:lang w:eastAsia="zh-CN"/>
        </w:rPr>
        <w:t>,</w:t>
      </w:r>
      <w:r w:rsidR="009A1625" w:rsidRPr="007A6C91">
        <w:rPr>
          <w:rFonts w:eastAsiaTheme="minorEastAsia"/>
          <w:lang w:eastAsia="zh-CN"/>
        </w:rPr>
        <w:t xml:space="preserve"> the battery lifetime should be more than 5 years</w:t>
      </w:r>
      <w:r w:rsidR="00727436" w:rsidRPr="00727436">
        <w:rPr>
          <w:rFonts w:eastAsiaTheme="minorEastAsia"/>
          <w:lang w:eastAsia="zh-CN"/>
        </w:rPr>
        <w:t xml:space="preserve">, which </w:t>
      </w:r>
      <w:r w:rsidR="00222221">
        <w:rPr>
          <w:rFonts w:eastAsiaTheme="minorEastAsia"/>
          <w:lang w:eastAsia="zh-CN"/>
        </w:rPr>
        <w:t>is</w:t>
      </w:r>
      <w:r w:rsidR="00222221" w:rsidRPr="00727436">
        <w:rPr>
          <w:rFonts w:eastAsiaTheme="minorEastAsia"/>
          <w:lang w:eastAsia="zh-CN"/>
        </w:rPr>
        <w:t xml:space="preserve"> </w:t>
      </w:r>
      <w:proofErr w:type="gramStart"/>
      <w:r w:rsidR="00727436" w:rsidRPr="00727436">
        <w:rPr>
          <w:rFonts w:eastAsiaTheme="minorEastAsia"/>
          <w:lang w:eastAsia="zh-CN"/>
        </w:rPr>
        <w:t xml:space="preserve">similar </w:t>
      </w:r>
      <w:r w:rsidR="00040C0B">
        <w:rPr>
          <w:rFonts w:eastAsiaTheme="minorEastAsia"/>
          <w:lang w:eastAsia="zh-CN"/>
        </w:rPr>
        <w:t>to</w:t>
      </w:r>
      <w:proofErr w:type="gramEnd"/>
      <w:r w:rsidR="00040C0B">
        <w:rPr>
          <w:rFonts w:eastAsiaTheme="minorEastAsia"/>
          <w:lang w:eastAsia="zh-CN"/>
        </w:rPr>
        <w:t xml:space="preserve"> the </w:t>
      </w:r>
      <w:r w:rsidR="00727436" w:rsidRPr="00727436">
        <w:rPr>
          <w:rFonts w:eastAsiaTheme="minorEastAsia"/>
          <w:lang w:eastAsia="zh-CN"/>
        </w:rPr>
        <w:t>battery lifetime requirement</w:t>
      </w:r>
      <w:r w:rsidR="00222221">
        <w:rPr>
          <w:rFonts w:eastAsiaTheme="minorEastAsia"/>
          <w:lang w:eastAsia="zh-CN"/>
        </w:rPr>
        <w:t>s</w:t>
      </w:r>
      <w:r w:rsidR="00727436" w:rsidRPr="00727436">
        <w:rPr>
          <w:rFonts w:eastAsiaTheme="minorEastAsia"/>
          <w:lang w:eastAsia="zh-CN"/>
        </w:rPr>
        <w:t xml:space="preserve"> </w:t>
      </w:r>
      <w:r w:rsidR="00222221">
        <w:rPr>
          <w:rFonts w:eastAsiaTheme="minorEastAsia"/>
          <w:lang w:eastAsia="zh-CN"/>
        </w:rPr>
        <w:t>of</w:t>
      </w:r>
      <w:r w:rsidR="00727436" w:rsidRPr="00727436">
        <w:rPr>
          <w:rFonts w:eastAsiaTheme="minorEastAsia"/>
          <w:lang w:eastAsia="zh-CN"/>
        </w:rPr>
        <w:t xml:space="preserve"> MTC use cases.</w:t>
      </w:r>
      <w:r w:rsidR="009A1625" w:rsidRPr="007A6C91">
        <w:rPr>
          <w:rFonts w:eastAsiaTheme="minorEastAsia"/>
          <w:lang w:eastAsia="zh-CN"/>
        </w:rPr>
        <w:t xml:space="preserve"> </w:t>
      </w:r>
      <w:r w:rsidR="00331B96" w:rsidRPr="00331B96">
        <w:rPr>
          <w:rFonts w:eastAsiaTheme="minorEastAsia"/>
          <w:lang w:eastAsia="zh-CN"/>
        </w:rPr>
        <w:t xml:space="preserve">According to TS 22.104 industrial wireless sensors are expected to generate traffic with the following attributes: </w:t>
      </w:r>
    </w:p>
    <w:p w14:paraId="776F304B" w14:textId="7568A950" w:rsidR="00331B96" w:rsidRPr="00D841AD" w:rsidRDefault="00331B96" w:rsidP="00D841AD">
      <w:pPr>
        <w:pStyle w:val="ListParagraph"/>
        <w:numPr>
          <w:ilvl w:val="0"/>
          <w:numId w:val="17"/>
        </w:numPr>
        <w:spacing w:after="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D841AD">
        <w:rPr>
          <w:rFonts w:ascii="Times New Roman" w:eastAsiaTheme="minorEastAsia" w:hAnsi="Times New Roman"/>
          <w:sz w:val="20"/>
          <w:szCs w:val="20"/>
          <w:lang w:val="en-GB"/>
        </w:rPr>
        <w:t xml:space="preserve">periodic (e.g. update of a position or the repeated monitoring of a </w:t>
      </w:r>
      <w:r w:rsidR="00560CB8" w:rsidRPr="00D841AD">
        <w:rPr>
          <w:rFonts w:ascii="Times New Roman" w:eastAsiaTheme="minorEastAsia" w:hAnsi="Times New Roman"/>
          <w:sz w:val="20"/>
          <w:szCs w:val="20"/>
          <w:lang w:val="en-GB"/>
        </w:rPr>
        <w:t xml:space="preserve">characteristic </w:t>
      </w:r>
      <w:r w:rsidRPr="00D841AD">
        <w:rPr>
          <w:rFonts w:ascii="Times New Roman" w:eastAsiaTheme="minorEastAsia" w:hAnsi="Times New Roman"/>
          <w:sz w:val="20"/>
          <w:szCs w:val="20"/>
          <w:lang w:val="en-GB"/>
        </w:rPr>
        <w:t xml:space="preserve">parameter) until a stop command is provided or </w:t>
      </w:r>
    </w:p>
    <w:p w14:paraId="3B5EDD20" w14:textId="3DC35546" w:rsidR="00D841AD" w:rsidRDefault="00331B96" w:rsidP="00D841AD">
      <w:pPr>
        <w:pStyle w:val="ListParagraph"/>
        <w:numPr>
          <w:ilvl w:val="0"/>
          <w:numId w:val="17"/>
        </w:numPr>
        <w:spacing w:after="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D841AD">
        <w:rPr>
          <w:rFonts w:ascii="Times New Roman" w:eastAsiaTheme="minorEastAsia" w:hAnsi="Times New Roman"/>
          <w:sz w:val="20"/>
          <w:szCs w:val="20"/>
          <w:lang w:val="en-GB"/>
        </w:rPr>
        <w:t>aperiodic: triggered by events (such as process event</w:t>
      </w:r>
      <w:r w:rsidR="00560CB8" w:rsidRPr="00D841AD">
        <w:rPr>
          <w:rFonts w:ascii="Times New Roman" w:eastAsiaTheme="minorEastAsia" w:hAnsi="Times New Roman"/>
          <w:sz w:val="20"/>
          <w:szCs w:val="20"/>
          <w:lang w:val="en-GB"/>
        </w:rPr>
        <w:t>s</w:t>
      </w:r>
      <w:r w:rsidRPr="00D841AD">
        <w:rPr>
          <w:rFonts w:ascii="Times New Roman" w:eastAsiaTheme="minorEastAsia" w:hAnsi="Times New Roman"/>
          <w:sz w:val="20"/>
          <w:szCs w:val="20"/>
          <w:lang w:val="en-GB"/>
        </w:rPr>
        <w:t xml:space="preserve">, diagnostic </w:t>
      </w:r>
      <w:proofErr w:type="gramStart"/>
      <w:r w:rsidRPr="00D841AD">
        <w:rPr>
          <w:rFonts w:ascii="Times New Roman" w:eastAsiaTheme="minorEastAsia" w:hAnsi="Times New Roman"/>
          <w:sz w:val="20"/>
          <w:szCs w:val="20"/>
          <w:lang w:val="en-GB"/>
        </w:rPr>
        <w:t>event</w:t>
      </w:r>
      <w:r w:rsidR="00560CB8" w:rsidRPr="00D841AD">
        <w:rPr>
          <w:rFonts w:ascii="Times New Roman" w:eastAsiaTheme="minorEastAsia" w:hAnsi="Times New Roman"/>
          <w:sz w:val="20"/>
          <w:szCs w:val="20"/>
          <w:lang w:val="en-GB"/>
        </w:rPr>
        <w:t>s</w:t>
      </w:r>
      <w:proofErr w:type="gramEnd"/>
      <w:r w:rsidRPr="00D841AD">
        <w:rPr>
          <w:rFonts w:ascii="Times New Roman" w:eastAsiaTheme="minorEastAsia" w:hAnsi="Times New Roman"/>
          <w:sz w:val="20"/>
          <w:szCs w:val="20"/>
          <w:lang w:val="en-GB"/>
        </w:rPr>
        <w:t xml:space="preserve"> or maintenance event</w:t>
      </w:r>
      <w:r w:rsidR="00560CB8" w:rsidRPr="00D841AD">
        <w:rPr>
          <w:rFonts w:ascii="Times New Roman" w:eastAsiaTheme="minorEastAsia" w:hAnsi="Times New Roman"/>
          <w:sz w:val="20"/>
          <w:szCs w:val="20"/>
          <w:lang w:val="en-GB"/>
        </w:rPr>
        <w:t>s</w:t>
      </w:r>
      <w:r w:rsidRPr="00D841AD">
        <w:rPr>
          <w:rFonts w:ascii="Times New Roman" w:eastAsiaTheme="minorEastAsia" w:hAnsi="Times New Roman"/>
          <w:sz w:val="20"/>
          <w:szCs w:val="20"/>
          <w:lang w:val="en-GB"/>
        </w:rPr>
        <w:t>).</w:t>
      </w:r>
    </w:p>
    <w:p w14:paraId="09AB2BAF" w14:textId="77777777" w:rsidR="00D841AD" w:rsidRPr="00D841AD" w:rsidRDefault="00D841AD" w:rsidP="00D841AD">
      <w:pPr>
        <w:pStyle w:val="ListParagraph"/>
        <w:spacing w:after="0"/>
        <w:ind w:left="720" w:firstLineChars="0" w:firstLine="0"/>
        <w:rPr>
          <w:rFonts w:ascii="Times New Roman" w:eastAsiaTheme="minorEastAsia" w:hAnsi="Times New Roman"/>
          <w:sz w:val="20"/>
          <w:szCs w:val="20"/>
          <w:lang w:val="en-GB"/>
        </w:rPr>
      </w:pPr>
    </w:p>
    <w:p w14:paraId="1A9A32AE" w14:textId="62F97DDB" w:rsidR="009A1625" w:rsidRPr="008F717B" w:rsidRDefault="009A1625" w:rsidP="008F717B">
      <w:pPr>
        <w:rPr>
          <w:rFonts w:eastAsiaTheme="minorEastAsia"/>
        </w:rPr>
      </w:pPr>
      <w:r w:rsidRPr="008F717B">
        <w:rPr>
          <w:rFonts w:eastAsiaTheme="minorEastAsia"/>
        </w:rPr>
        <w:t>Either of these types of communication are expected to be intermittent</w:t>
      </w:r>
      <w:r w:rsidR="008F717B">
        <w:rPr>
          <w:rFonts w:eastAsiaTheme="minorEastAsia"/>
        </w:rPr>
        <w:t>/sporadic</w:t>
      </w:r>
      <w:r w:rsidRPr="008F717B">
        <w:rPr>
          <w:rFonts w:eastAsiaTheme="minorEastAsia"/>
        </w:rPr>
        <w:t xml:space="preserve"> </w:t>
      </w:r>
      <w:r w:rsidR="008F717B">
        <w:rPr>
          <w:rFonts w:eastAsiaTheme="minorEastAsia"/>
        </w:rPr>
        <w:t xml:space="preserve">with </w:t>
      </w:r>
      <w:r w:rsidRPr="008F717B">
        <w:rPr>
          <w:rFonts w:eastAsiaTheme="minorEastAsia"/>
        </w:rPr>
        <w:t xml:space="preserve">a long period of </w:t>
      </w:r>
      <w:r w:rsidR="00D841AD">
        <w:rPr>
          <w:rFonts w:eastAsiaTheme="minorEastAsia"/>
        </w:rPr>
        <w:t xml:space="preserve">inactivity, </w:t>
      </w:r>
      <w:r w:rsidR="00D841AD" w:rsidRPr="008F717B">
        <w:rPr>
          <w:rFonts w:eastAsiaTheme="minorEastAsia"/>
        </w:rPr>
        <w:t>e.g.</w:t>
      </w:r>
      <w:r w:rsidRPr="008F717B">
        <w:rPr>
          <w:rFonts w:eastAsiaTheme="minorEastAsia"/>
        </w:rPr>
        <w:t xml:space="preserve"> in minutes or hours. </w:t>
      </w:r>
      <w:r w:rsidR="00560CB8">
        <w:rPr>
          <w:rFonts w:eastAsiaTheme="minorEastAsia"/>
        </w:rPr>
        <w:t>Taking aperiodic transmission as an example, the events are defined by the control system or by the user and configured into the targeted device(s)</w:t>
      </w:r>
      <w:r w:rsidR="00D841AD">
        <w:rPr>
          <w:rFonts w:eastAsiaTheme="minorEastAsia"/>
        </w:rPr>
        <w:t>,</w:t>
      </w:r>
      <w:r w:rsidR="00560CB8">
        <w:rPr>
          <w:rFonts w:eastAsiaTheme="minorEastAsia"/>
        </w:rPr>
        <w:t xml:space="preserve"> e.g. IWSN devices, which then report</w:t>
      </w:r>
      <w:r w:rsidR="00D841AD">
        <w:rPr>
          <w:rFonts w:eastAsiaTheme="minorEastAsia"/>
        </w:rPr>
        <w:t>s</w:t>
      </w:r>
      <w:r w:rsidR="00560CB8">
        <w:rPr>
          <w:rFonts w:eastAsiaTheme="minorEastAsia"/>
        </w:rPr>
        <w:t xml:space="preserve"> occurrence of the events. Such events might be intermittent with a long inactivity period between event</w:t>
      </w:r>
      <w:r w:rsidR="00E33986">
        <w:rPr>
          <w:rFonts w:eastAsiaTheme="minorEastAsia"/>
        </w:rPr>
        <w:t>, leading to infrequent uplink traffic</w:t>
      </w:r>
      <w:r w:rsidR="006F3A3F">
        <w:rPr>
          <w:rFonts w:eastAsiaTheme="minorEastAsia"/>
        </w:rPr>
        <w:t>s</w:t>
      </w:r>
      <w:r w:rsidR="00E33986">
        <w:rPr>
          <w:rFonts w:eastAsiaTheme="minorEastAsia"/>
        </w:rPr>
        <w:t xml:space="preserve">. The configuration of the events that trigger aperiodic transmissions may be updated occasionally, but not frequently.  Similarly, the configuration of the device for the periodic reporting of an update of a position or for the repeated monitoring of a characteristic parameter of a process may be updated into the device(s) occasionally. We can there for conclude that downlink traffic for a least a class of reduced capability devices </w:t>
      </w:r>
      <w:r w:rsidR="00481F1D">
        <w:rPr>
          <w:rFonts w:eastAsiaTheme="minorEastAsia"/>
        </w:rPr>
        <w:t xml:space="preserve">like IWSN devices are infrequent traffic, </w:t>
      </w:r>
      <w:r w:rsidR="006F3A3F">
        <w:rPr>
          <w:rFonts w:eastAsiaTheme="minorEastAsia"/>
        </w:rPr>
        <w:t>like</w:t>
      </w:r>
      <w:r w:rsidR="00481F1D">
        <w:rPr>
          <w:rFonts w:eastAsiaTheme="minorEastAsia"/>
        </w:rPr>
        <w:t xml:space="preserve"> the traffic profile of LTE MTC use cases. </w:t>
      </w:r>
    </w:p>
    <w:p w14:paraId="4B534C29" w14:textId="77777777" w:rsidR="00F32128" w:rsidRDefault="00F32128" w:rsidP="00C1285F">
      <w:pPr>
        <w:rPr>
          <w:rFonts w:eastAsiaTheme="minorEastAsia"/>
          <w:lang w:eastAsia="zh-CN"/>
        </w:rPr>
      </w:pPr>
    </w:p>
    <w:p w14:paraId="3AA30DF9" w14:textId="582E9DAD" w:rsidR="007E219A" w:rsidRPr="00770F57" w:rsidRDefault="007E219A" w:rsidP="00C205EB">
      <w:pPr>
        <w:pStyle w:val="TH"/>
        <w:rPr>
          <w:lang w:val="en-US"/>
        </w:rPr>
      </w:pPr>
    </w:p>
    <w:p w14:paraId="30C557B2" w14:textId="053FCC4D" w:rsidR="00C1285F" w:rsidRPr="004E0CCA" w:rsidRDefault="00C1285F" w:rsidP="00C1285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 w:rsidR="00F47431"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Some of the use cases </w:t>
      </w:r>
      <w:r w:rsidR="008F717B">
        <w:rPr>
          <w:i/>
          <w:iCs/>
        </w:rPr>
        <w:t>for</w:t>
      </w:r>
      <w:r w:rsidR="008F717B" w:rsidRPr="004E0CCA">
        <w:rPr>
          <w:i/>
          <w:iCs/>
        </w:rPr>
        <w:t xml:space="preserve"> </w:t>
      </w:r>
      <w:r w:rsidRPr="004E0CCA">
        <w:rPr>
          <w:i/>
          <w:iCs/>
        </w:rPr>
        <w:t xml:space="preserve">the reduced capability NR devices have </w:t>
      </w:r>
      <w:r w:rsidR="00492E57">
        <w:rPr>
          <w:i/>
          <w:iCs/>
        </w:rPr>
        <w:t xml:space="preserve">a </w:t>
      </w:r>
      <w:r w:rsidRPr="004E0CCA">
        <w:rPr>
          <w:i/>
          <w:iCs/>
        </w:rPr>
        <w:t xml:space="preserve">similar battery lifetime requirement as MTC use cases. Therefore, </w:t>
      </w:r>
      <w:proofErr w:type="gramStart"/>
      <w:r w:rsidRPr="004E0CCA">
        <w:rPr>
          <w:i/>
          <w:iCs/>
        </w:rPr>
        <w:t>similar to</w:t>
      </w:r>
      <w:proofErr w:type="gramEnd"/>
      <w:r w:rsidRPr="004E0CCA">
        <w:rPr>
          <w:i/>
          <w:iCs/>
        </w:rPr>
        <w:t xml:space="preserve"> MTC cases, </w:t>
      </w:r>
      <w:r w:rsidR="00B0111D">
        <w:rPr>
          <w:i/>
          <w:iCs/>
        </w:rPr>
        <w:t xml:space="preserve">battery </w:t>
      </w:r>
      <w:r w:rsidRPr="004E0CCA">
        <w:rPr>
          <w:i/>
          <w:iCs/>
        </w:rPr>
        <w:t xml:space="preserve">power is </w:t>
      </w:r>
      <w:r w:rsidR="008F717B">
        <w:rPr>
          <w:i/>
          <w:iCs/>
        </w:rPr>
        <w:t>a</w:t>
      </w:r>
      <w:r w:rsidRPr="004E0CCA">
        <w:rPr>
          <w:i/>
          <w:iCs/>
        </w:rPr>
        <w:t xml:space="preserve"> critical resource to be optimized for a broad class of reduced capability NR devices.</w:t>
      </w:r>
    </w:p>
    <w:p w14:paraId="3C4CBADF" w14:textId="4F014D57" w:rsidR="00C1285F" w:rsidRDefault="00C1285F" w:rsidP="00C1285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 w:rsidR="000B2569"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proofErr w:type="gramStart"/>
      <w:r w:rsidRPr="004E0CCA">
        <w:rPr>
          <w:i/>
          <w:iCs/>
        </w:rPr>
        <w:t>Similar to</w:t>
      </w:r>
      <w:proofErr w:type="gramEnd"/>
      <w:r w:rsidRPr="004E0CCA">
        <w:rPr>
          <w:i/>
          <w:iCs/>
        </w:rPr>
        <w:t xml:space="preserve"> MTC devices, some reduced capability NR devices </w:t>
      </w:r>
      <w:r w:rsidR="00481F1D">
        <w:rPr>
          <w:i/>
          <w:iCs/>
        </w:rPr>
        <w:t>are subject to infrequent traffic</w:t>
      </w:r>
      <w:r w:rsidR="006F3A3F">
        <w:rPr>
          <w:i/>
          <w:iCs/>
        </w:rPr>
        <w:t xml:space="preserve"> </w:t>
      </w:r>
      <w:r w:rsidR="00481F1D">
        <w:rPr>
          <w:i/>
          <w:iCs/>
        </w:rPr>
        <w:t xml:space="preserve">and can benefit </w:t>
      </w:r>
      <w:r w:rsidRPr="004E0CCA">
        <w:rPr>
          <w:i/>
          <w:iCs/>
        </w:rPr>
        <w:t>long sleep time</w:t>
      </w:r>
      <w:r w:rsidR="00481F1D">
        <w:rPr>
          <w:i/>
          <w:iCs/>
        </w:rPr>
        <w:t>. T</w:t>
      </w:r>
      <w:r w:rsidRPr="004E0CCA">
        <w:rPr>
          <w:i/>
          <w:iCs/>
        </w:rPr>
        <w:t>he regular DRX may not be well suited to those types of reduced capability NR devices.</w:t>
      </w:r>
    </w:p>
    <w:p w14:paraId="0133BB26" w14:textId="46158C10" w:rsidR="00066BB1" w:rsidRPr="004E0CCA" w:rsidRDefault="00066BB1" w:rsidP="00C1285F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 xml:space="preserve">3: </w:t>
      </w:r>
      <w:r w:rsidRPr="00066BB1">
        <w:rPr>
          <w:i/>
          <w:iCs/>
        </w:rPr>
        <w:t>An extension of the DRX cycle up to only 10.24s will</w:t>
      </w:r>
      <w:r>
        <w:rPr>
          <w:i/>
          <w:iCs/>
        </w:rPr>
        <w:t xml:space="preserve"> not</w:t>
      </w:r>
      <w:r w:rsidRPr="00066BB1">
        <w:rPr>
          <w:i/>
          <w:iCs/>
        </w:rPr>
        <w:t xml:space="preserve"> meet the battery lifetime requirement for some of the reduced capability NR devices. </w:t>
      </w:r>
    </w:p>
    <w:p w14:paraId="1D2E05B7" w14:textId="0000EE6E" w:rsidR="004D562F" w:rsidRDefault="004D562F" w:rsidP="004D562F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 w:rsidR="00AA13BE"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="00AA13BE">
        <w:rPr>
          <w:i/>
          <w:iCs/>
        </w:rPr>
        <w:t>T</w:t>
      </w:r>
      <w:r w:rsidRPr="004E0CCA">
        <w:rPr>
          <w:i/>
          <w:iCs/>
        </w:rPr>
        <w:t>he DRX cycle</w:t>
      </w:r>
      <w:r w:rsidR="00481F1D">
        <w:rPr>
          <w:i/>
          <w:iCs/>
        </w:rPr>
        <w:t xml:space="preserve"> in RRC_IDLE</w:t>
      </w:r>
      <w:r w:rsidRPr="004E0CCA">
        <w:rPr>
          <w:i/>
          <w:iCs/>
        </w:rPr>
        <w:t xml:space="preserve"> is extended beyond 10.24s for </w:t>
      </w:r>
      <w:r w:rsidR="00481F1D">
        <w:rPr>
          <w:i/>
          <w:iCs/>
        </w:rPr>
        <w:t>REDCAP UEs.</w:t>
      </w:r>
    </w:p>
    <w:p w14:paraId="36827C17" w14:textId="47DA8A07" w:rsidR="00481F1D" w:rsidRPr="00535798" w:rsidRDefault="00481F1D" w:rsidP="004D562F">
      <w:r w:rsidRPr="0099592E">
        <w:rPr>
          <w:lang w:eastAsia="zh-CN"/>
        </w:rPr>
        <w:t xml:space="preserve">In LTE, the maximum value of eDRX cycle in RRC_IDLE is 2621.44s (almost 44 min) for eMTC UEs and 10485.76s (max of Hyper SFN cycle, almost 3 hours) for NB-IOT UEs. In addition, eMTC UEs </w:t>
      </w:r>
      <w:r>
        <w:rPr>
          <w:lang w:eastAsia="zh-CN"/>
        </w:rPr>
        <w:t xml:space="preserve">can connect to 5GC </w:t>
      </w:r>
      <w:r w:rsidR="00D841AD">
        <w:rPr>
          <w:lang w:eastAsia="zh-CN"/>
        </w:rPr>
        <w:t>and</w:t>
      </w:r>
      <w:r w:rsidRPr="0099592E">
        <w:rPr>
          <w:lang w:eastAsia="zh-CN"/>
        </w:rPr>
        <w:t xml:space="preserve"> 5GC already supports extended DRX parameters up to 2621.44s in </w:t>
      </w:r>
      <w:r w:rsidR="00D841AD">
        <w:rPr>
          <w:lang w:eastAsia="zh-CN"/>
        </w:rPr>
        <w:t>r</w:t>
      </w:r>
      <w:r w:rsidRPr="0099592E">
        <w:rPr>
          <w:lang w:eastAsia="zh-CN"/>
        </w:rPr>
        <w:t>egistration procedure</w:t>
      </w:r>
      <w:r w:rsidR="00D841AD">
        <w:rPr>
          <w:lang w:eastAsia="zh-CN"/>
        </w:rPr>
        <w:t>. T</w:t>
      </w:r>
      <w:r w:rsidRPr="0099592E">
        <w:rPr>
          <w:lang w:eastAsia="zh-CN"/>
        </w:rPr>
        <w:t xml:space="preserve">here is no additional work </w:t>
      </w:r>
      <w:r>
        <w:rPr>
          <w:lang w:eastAsia="zh-CN"/>
        </w:rPr>
        <w:t xml:space="preserve">expected </w:t>
      </w:r>
      <w:r w:rsidRPr="0099592E">
        <w:rPr>
          <w:lang w:eastAsia="zh-CN"/>
        </w:rPr>
        <w:t>for CN to support this value.</w:t>
      </w:r>
    </w:p>
    <w:p w14:paraId="6DEEBDD7" w14:textId="398813B6" w:rsidR="00481F1D" w:rsidRPr="004E0CCA" w:rsidRDefault="00481F1D" w:rsidP="004D562F">
      <w:pPr>
        <w:rPr>
          <w:i/>
          <w:iCs/>
        </w:rPr>
      </w:pPr>
      <w:r w:rsidRPr="00535798">
        <w:rPr>
          <w:b/>
          <w:bCs/>
          <w:i/>
          <w:iCs/>
        </w:rPr>
        <w:t>Proposal 2:</w:t>
      </w:r>
      <w:r>
        <w:rPr>
          <w:i/>
          <w:iCs/>
        </w:rPr>
        <w:t xml:space="preserve"> The eDRX cycle in RRC _IDLE is extended up to 2621.44s for REDCAP UEs.</w:t>
      </w:r>
    </w:p>
    <w:p w14:paraId="099E0830" w14:textId="0E531225" w:rsidR="004D562F" w:rsidRDefault="004D562F" w:rsidP="004D562F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 w:rsidR="00481F1D"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="00AA13BE">
        <w:rPr>
          <w:i/>
          <w:iCs/>
        </w:rPr>
        <w:t>T</w:t>
      </w:r>
      <w:r w:rsidRPr="004E0CCA">
        <w:rPr>
          <w:i/>
          <w:iCs/>
        </w:rPr>
        <w:t xml:space="preserve">he </w:t>
      </w:r>
      <w:r w:rsidR="00C570DE">
        <w:rPr>
          <w:i/>
          <w:iCs/>
        </w:rPr>
        <w:t>e</w:t>
      </w:r>
      <w:r w:rsidRPr="004E0CCA">
        <w:rPr>
          <w:i/>
          <w:iCs/>
        </w:rPr>
        <w:t xml:space="preserve">DRX cycle </w:t>
      </w:r>
      <w:r w:rsidR="00481F1D">
        <w:rPr>
          <w:i/>
          <w:iCs/>
        </w:rPr>
        <w:t xml:space="preserve">in RRC_INACTIVE </w:t>
      </w:r>
      <w:r w:rsidRPr="004E0CCA">
        <w:rPr>
          <w:i/>
          <w:iCs/>
        </w:rPr>
        <w:t xml:space="preserve">is extended beyond 10.24s for </w:t>
      </w:r>
      <w:r w:rsidR="00481F1D">
        <w:rPr>
          <w:i/>
          <w:iCs/>
        </w:rPr>
        <w:t>REDCAP UEs</w:t>
      </w:r>
      <w:r w:rsidR="00C570DE">
        <w:rPr>
          <w:i/>
          <w:iCs/>
        </w:rPr>
        <w:t>.</w:t>
      </w:r>
    </w:p>
    <w:p w14:paraId="7271DDAE" w14:textId="3DFB0073" w:rsidR="00C570DE" w:rsidRPr="00D841AD" w:rsidRDefault="00C570DE" w:rsidP="004D562F">
      <w:pPr>
        <w:rPr>
          <w:lang w:eastAsia="zh-CN"/>
        </w:rPr>
      </w:pPr>
      <w:r w:rsidRPr="00D841AD">
        <w:rPr>
          <w:lang w:eastAsia="zh-CN"/>
        </w:rPr>
        <w:t>For consistency with RRC_IDLE, we also propose to extend the DRX cycle in RRC_INACTIVE for REDCAP UEs to 2621.44s.</w:t>
      </w:r>
    </w:p>
    <w:p w14:paraId="237D0EB8" w14:textId="6523DD83" w:rsidR="00715734" w:rsidRPr="00715734" w:rsidRDefault="00C570DE" w:rsidP="0064721F">
      <w:pPr>
        <w:rPr>
          <w:lang w:val="en-US"/>
        </w:rPr>
      </w:pPr>
      <w:r w:rsidRPr="00535798">
        <w:rPr>
          <w:b/>
          <w:bCs/>
          <w:i/>
          <w:iCs/>
        </w:rPr>
        <w:t>Proposal 4:</w:t>
      </w:r>
      <w:r>
        <w:rPr>
          <w:i/>
          <w:iCs/>
        </w:rPr>
        <w:t xml:space="preserve"> The eDRX cycle in RRC _INACTIVE is extended up to 2621.44s for REDCAP UEs.</w:t>
      </w:r>
    </w:p>
    <w:bookmarkEnd w:id="0"/>
    <w:p w14:paraId="6EB879B2" w14:textId="35B203E3" w:rsidR="00793C19" w:rsidRPr="002274CF" w:rsidRDefault="00793C19" w:rsidP="00793C19">
      <w:pPr>
        <w:pStyle w:val="Heading1"/>
        <w:rPr>
          <w:lang w:val="en-GB"/>
        </w:rPr>
      </w:pPr>
      <w:r w:rsidRPr="002274CF">
        <w:rPr>
          <w:lang w:val="en-GB"/>
        </w:rPr>
        <w:t>Conclusion</w:t>
      </w:r>
    </w:p>
    <w:p w14:paraId="67D41CAE" w14:textId="521343F1" w:rsidR="00F07DC7" w:rsidRDefault="00FE3361" w:rsidP="009D64F7">
      <w:r w:rsidRPr="000F2ED3">
        <w:t>In this contribution, we discuss our views related</w:t>
      </w:r>
      <w:r w:rsidR="000A2E4C" w:rsidRPr="000F2ED3">
        <w:t xml:space="preserve"> to</w:t>
      </w:r>
      <w:r w:rsidR="00B23721">
        <w:t xml:space="preserve"> </w:t>
      </w:r>
      <w:r w:rsidR="00363496">
        <w:t xml:space="preserve">the </w:t>
      </w:r>
      <w:r w:rsidR="00B23721">
        <w:t xml:space="preserve">design </w:t>
      </w:r>
      <w:r w:rsidR="00363496">
        <w:t xml:space="preserve">of </w:t>
      </w:r>
      <w:r w:rsidR="009D64F7">
        <w:t xml:space="preserve">eDRX for </w:t>
      </w:r>
      <w:r w:rsidR="00825F06">
        <w:t>reduced capability NR device</w:t>
      </w:r>
      <w:r w:rsidR="009D64F7">
        <w:t xml:space="preserve">s. </w:t>
      </w:r>
      <w:r w:rsidR="000F2ED3">
        <w:t xml:space="preserve">We made the following </w:t>
      </w:r>
      <w:r w:rsidR="00B23721">
        <w:t xml:space="preserve">observations and </w:t>
      </w:r>
      <w:r w:rsidR="000F2ED3">
        <w:t>proposals:</w:t>
      </w:r>
    </w:p>
    <w:p w14:paraId="422F21E7" w14:textId="77777777" w:rsidR="00C570DE" w:rsidRPr="004E0CCA" w:rsidRDefault="00C570DE" w:rsidP="00C570DE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Some of the use cases </w:t>
      </w:r>
      <w:r>
        <w:rPr>
          <w:i/>
          <w:iCs/>
        </w:rPr>
        <w:t>for</w:t>
      </w:r>
      <w:r w:rsidRPr="004E0CCA">
        <w:rPr>
          <w:i/>
          <w:iCs/>
        </w:rPr>
        <w:t xml:space="preserve"> the reduced capability NR devices have </w:t>
      </w:r>
      <w:r>
        <w:rPr>
          <w:i/>
          <w:iCs/>
        </w:rPr>
        <w:t xml:space="preserve">a </w:t>
      </w:r>
      <w:r w:rsidRPr="004E0CCA">
        <w:rPr>
          <w:i/>
          <w:iCs/>
        </w:rPr>
        <w:t xml:space="preserve">similar battery lifetime requirement as MTC use cases. Therefore, </w:t>
      </w:r>
      <w:proofErr w:type="gramStart"/>
      <w:r w:rsidRPr="004E0CCA">
        <w:rPr>
          <w:i/>
          <w:iCs/>
        </w:rPr>
        <w:t>similar to</w:t>
      </w:r>
      <w:proofErr w:type="gramEnd"/>
      <w:r w:rsidRPr="004E0CCA">
        <w:rPr>
          <w:i/>
          <w:iCs/>
        </w:rPr>
        <w:t xml:space="preserve"> MTC cases, </w:t>
      </w:r>
      <w:r>
        <w:rPr>
          <w:i/>
          <w:iCs/>
        </w:rPr>
        <w:t xml:space="preserve">battery </w:t>
      </w:r>
      <w:r w:rsidRPr="004E0CCA">
        <w:rPr>
          <w:i/>
          <w:iCs/>
        </w:rPr>
        <w:t xml:space="preserve">power is </w:t>
      </w:r>
      <w:r>
        <w:rPr>
          <w:i/>
          <w:iCs/>
        </w:rPr>
        <w:t>a</w:t>
      </w:r>
      <w:r w:rsidRPr="004E0CCA">
        <w:rPr>
          <w:i/>
          <w:iCs/>
        </w:rPr>
        <w:t xml:space="preserve"> critical resource to be optimized for a broad class of reduced capability NR devices.</w:t>
      </w:r>
    </w:p>
    <w:p w14:paraId="2534732F" w14:textId="53F47BAC" w:rsidR="00C570DE" w:rsidRDefault="00C570DE" w:rsidP="00C570DE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Similar to MTC devices, some reduced capability NR devices </w:t>
      </w:r>
      <w:r>
        <w:rPr>
          <w:i/>
          <w:iCs/>
        </w:rPr>
        <w:t xml:space="preserve">are subject to infrequent </w:t>
      </w:r>
      <w:r w:rsidR="006F3A3F">
        <w:rPr>
          <w:i/>
          <w:iCs/>
        </w:rPr>
        <w:t>traffic and</w:t>
      </w:r>
      <w:r>
        <w:rPr>
          <w:i/>
          <w:iCs/>
        </w:rPr>
        <w:t xml:space="preserve"> can benefit </w:t>
      </w:r>
      <w:r w:rsidRPr="004E0CCA">
        <w:rPr>
          <w:i/>
          <w:iCs/>
        </w:rPr>
        <w:t>long sleep time</w:t>
      </w:r>
      <w:r>
        <w:rPr>
          <w:i/>
          <w:iCs/>
        </w:rPr>
        <w:t>. T</w:t>
      </w:r>
      <w:r w:rsidRPr="004E0CCA">
        <w:rPr>
          <w:i/>
          <w:iCs/>
        </w:rPr>
        <w:t>he regular DRX may not be well suited to those types of reduced capability NR devices.</w:t>
      </w:r>
    </w:p>
    <w:p w14:paraId="6833AADD" w14:textId="4A8B098B" w:rsidR="00C570DE" w:rsidRDefault="00C570DE" w:rsidP="00C570DE">
      <w:pPr>
        <w:rPr>
          <w:i/>
          <w:iCs/>
        </w:rPr>
      </w:pPr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 xml:space="preserve">3: </w:t>
      </w:r>
      <w:r w:rsidRPr="00066BB1">
        <w:rPr>
          <w:i/>
          <w:iCs/>
        </w:rPr>
        <w:t>An extension of the DRX cycle up to only 10.24s will</w:t>
      </w:r>
      <w:r>
        <w:rPr>
          <w:i/>
          <w:iCs/>
        </w:rPr>
        <w:t xml:space="preserve"> not</w:t>
      </w:r>
      <w:r w:rsidRPr="00066BB1">
        <w:rPr>
          <w:i/>
          <w:iCs/>
        </w:rPr>
        <w:t xml:space="preserve"> meet the battery lifetime requirement for some of the reduced capability NR devices. </w:t>
      </w:r>
    </w:p>
    <w:p w14:paraId="52F9E878" w14:textId="2BD4A8B5" w:rsidR="006F3A3F" w:rsidRDefault="006F3A3F" w:rsidP="00C570DE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T</w:t>
      </w:r>
      <w:r w:rsidRPr="004E0CCA">
        <w:rPr>
          <w:i/>
          <w:iCs/>
        </w:rPr>
        <w:t>he DRX cycle</w:t>
      </w:r>
      <w:r>
        <w:rPr>
          <w:i/>
          <w:iCs/>
        </w:rPr>
        <w:t xml:space="preserve"> in RRC_IDLE</w:t>
      </w:r>
      <w:r w:rsidRPr="004E0CCA">
        <w:rPr>
          <w:i/>
          <w:iCs/>
        </w:rPr>
        <w:t xml:space="preserve"> is extended beyond 10.24s for </w:t>
      </w:r>
      <w:r>
        <w:rPr>
          <w:i/>
          <w:iCs/>
        </w:rPr>
        <w:t>REDCAP UEs.</w:t>
      </w:r>
    </w:p>
    <w:p w14:paraId="62D1EB6E" w14:textId="77777777" w:rsidR="006F3A3F" w:rsidRPr="004E0CCA" w:rsidRDefault="006F3A3F" w:rsidP="006F3A3F">
      <w:pPr>
        <w:rPr>
          <w:i/>
          <w:iCs/>
        </w:rPr>
      </w:pPr>
      <w:r w:rsidRPr="001D63EB">
        <w:rPr>
          <w:b/>
          <w:bCs/>
          <w:i/>
          <w:iCs/>
        </w:rPr>
        <w:t>Proposal 2:</w:t>
      </w:r>
      <w:r>
        <w:rPr>
          <w:i/>
          <w:iCs/>
        </w:rPr>
        <w:t xml:space="preserve"> The eDRX cycle in RRC _IDLE is extended up to 2621.44s for REDCAP UEs.</w:t>
      </w:r>
    </w:p>
    <w:p w14:paraId="1858E07A" w14:textId="2A41B866" w:rsidR="006F3A3F" w:rsidRPr="004E0CCA" w:rsidRDefault="006F3A3F" w:rsidP="006F3A3F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T</w:t>
      </w:r>
      <w:r w:rsidRPr="004E0CCA">
        <w:rPr>
          <w:i/>
          <w:iCs/>
        </w:rPr>
        <w:t xml:space="preserve">he </w:t>
      </w:r>
      <w:r>
        <w:rPr>
          <w:i/>
          <w:iCs/>
        </w:rPr>
        <w:t>e</w:t>
      </w:r>
      <w:r w:rsidRPr="004E0CCA">
        <w:rPr>
          <w:i/>
          <w:iCs/>
        </w:rPr>
        <w:t xml:space="preserve">DRX cycle </w:t>
      </w:r>
      <w:r>
        <w:rPr>
          <w:i/>
          <w:iCs/>
        </w:rPr>
        <w:t xml:space="preserve">in RRC_INACTIVE </w:t>
      </w:r>
      <w:r w:rsidRPr="004E0CCA">
        <w:rPr>
          <w:i/>
          <w:iCs/>
        </w:rPr>
        <w:t xml:space="preserve">is extended beyond 10.24s for </w:t>
      </w:r>
      <w:r>
        <w:rPr>
          <w:i/>
          <w:iCs/>
        </w:rPr>
        <w:t>REDCAP UEs.</w:t>
      </w:r>
    </w:p>
    <w:p w14:paraId="69BD76EF" w14:textId="081F4B30" w:rsidR="001B16AF" w:rsidRPr="004E0CCA" w:rsidRDefault="006F3A3F" w:rsidP="001B16AF">
      <w:pPr>
        <w:rPr>
          <w:i/>
          <w:iCs/>
        </w:rPr>
      </w:pPr>
      <w:r w:rsidRPr="001D63EB">
        <w:rPr>
          <w:b/>
          <w:bCs/>
          <w:i/>
          <w:iCs/>
        </w:rPr>
        <w:t>Proposal 4:</w:t>
      </w:r>
      <w:r>
        <w:rPr>
          <w:i/>
          <w:iCs/>
        </w:rPr>
        <w:t xml:space="preserve"> The eDRX cycle in RRC _INACTIVE is extended up to 2621.44s for REDCAP UEs.</w:t>
      </w:r>
    </w:p>
    <w:p w14:paraId="6EB879C9" w14:textId="77777777" w:rsidR="00F17733" w:rsidRPr="002274CF" w:rsidRDefault="00F17733" w:rsidP="00F17733">
      <w:pPr>
        <w:pStyle w:val="Heading1"/>
        <w:rPr>
          <w:lang w:val="en-GB"/>
        </w:rPr>
      </w:pPr>
      <w:r w:rsidRPr="002274CF">
        <w:rPr>
          <w:lang w:val="en-GB"/>
        </w:rPr>
        <w:t>References</w:t>
      </w:r>
    </w:p>
    <w:p w14:paraId="15BC30FB" w14:textId="3394177A" w:rsidR="006642C4" w:rsidRDefault="00727436" w:rsidP="00520E6B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1" w:name="_Ref7441333"/>
      <w:bookmarkStart w:id="2" w:name="_Ref485300629"/>
      <w:bookmarkStart w:id="3" w:name="_Ref481703437"/>
      <w:bookmarkStart w:id="4" w:name="_Ref485382530"/>
      <w:r w:rsidRPr="00770F57">
        <w:rPr>
          <w:sz w:val="20"/>
        </w:rPr>
        <w:t>TS 22.104</w:t>
      </w:r>
      <w:r w:rsidR="00C570DE" w:rsidRPr="00770F57">
        <w:rPr>
          <w:sz w:val="20"/>
        </w:rPr>
        <w:t xml:space="preserve"> v17.4.0</w:t>
      </w:r>
      <w:r w:rsidR="00C570DE">
        <w:rPr>
          <w:sz w:val="20"/>
        </w:rPr>
        <w:t xml:space="preserve">, </w:t>
      </w:r>
      <w:r w:rsidR="00C570DE" w:rsidRPr="00C570DE">
        <w:rPr>
          <w:sz w:val="20"/>
        </w:rPr>
        <w:t>Service requirements for cyber-physical control applications in vertical domains</w:t>
      </w:r>
      <w:r w:rsidR="00C570DE">
        <w:rPr>
          <w:sz w:val="20"/>
        </w:rPr>
        <w:t>, Stage 1 (Release 17)</w:t>
      </w:r>
      <w:bookmarkEnd w:id="1"/>
      <w:bookmarkEnd w:id="2"/>
      <w:bookmarkEnd w:id="3"/>
      <w:bookmarkEnd w:id="4"/>
    </w:p>
    <w:sectPr w:rsidR="006642C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B2896" w14:textId="77777777" w:rsidR="00AE0896" w:rsidRPr="008C651D" w:rsidRDefault="00AE089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336C4198" w14:textId="77777777" w:rsidR="00AE0896" w:rsidRPr="008C651D" w:rsidRDefault="00AE089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9349C" w14:textId="77777777" w:rsidR="00AE0896" w:rsidRPr="008C651D" w:rsidRDefault="00AE089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3D538AED" w14:textId="77777777" w:rsidR="00AE0896" w:rsidRPr="008C651D" w:rsidRDefault="00AE089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5A31838"/>
    <w:multiLevelType w:val="hybridMultilevel"/>
    <w:tmpl w:val="C71863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6A2431F"/>
    <w:multiLevelType w:val="hybridMultilevel"/>
    <w:tmpl w:val="A27E5092"/>
    <w:lvl w:ilvl="0" w:tplc="4D32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F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9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AF8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C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4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AA46647"/>
    <w:multiLevelType w:val="hybridMultilevel"/>
    <w:tmpl w:val="D500DCB8"/>
    <w:lvl w:ilvl="0" w:tplc="E544E8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F6077D"/>
    <w:multiLevelType w:val="hybridMultilevel"/>
    <w:tmpl w:val="F17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75115"/>
    <w:multiLevelType w:val="hybridMultilevel"/>
    <w:tmpl w:val="C4DA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7592F"/>
    <w:multiLevelType w:val="hybridMultilevel"/>
    <w:tmpl w:val="EEB41A24"/>
    <w:lvl w:ilvl="0" w:tplc="727A2D4A">
      <w:start w:val="27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67056F54"/>
    <w:multiLevelType w:val="hybridMultilevel"/>
    <w:tmpl w:val="64905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758E6"/>
    <w:multiLevelType w:val="hybridMultilevel"/>
    <w:tmpl w:val="8E889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5"/>
  </w:num>
  <w:num w:numId="6">
    <w:abstractNumId w:val="1"/>
  </w:num>
  <w:num w:numId="7">
    <w:abstractNumId w:val="2"/>
  </w:num>
  <w:num w:numId="8">
    <w:abstractNumId w:val="11"/>
  </w:num>
  <w:num w:numId="9">
    <w:abstractNumId w:val="13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  <w:num w:numId="14">
    <w:abstractNumId w:val="12"/>
  </w:num>
  <w:num w:numId="15">
    <w:abstractNumId w:val="4"/>
  </w:num>
  <w:num w:numId="16">
    <w:abstractNumId w:val="15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A7A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C0B"/>
    <w:rsid w:val="00040E24"/>
    <w:rsid w:val="00041072"/>
    <w:rsid w:val="00041913"/>
    <w:rsid w:val="00042212"/>
    <w:rsid w:val="00042DE3"/>
    <w:rsid w:val="00043181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1E2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B1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549D"/>
    <w:rsid w:val="00096439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569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5EEB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6A5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B96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387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6AF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3BEF"/>
    <w:rsid w:val="001E43E2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675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221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821"/>
    <w:rsid w:val="00230CD1"/>
    <w:rsid w:val="00230D6E"/>
    <w:rsid w:val="00230D8B"/>
    <w:rsid w:val="00230EBB"/>
    <w:rsid w:val="00231BDC"/>
    <w:rsid w:val="00232024"/>
    <w:rsid w:val="002326D0"/>
    <w:rsid w:val="00232797"/>
    <w:rsid w:val="00232EDB"/>
    <w:rsid w:val="002335B7"/>
    <w:rsid w:val="002335D5"/>
    <w:rsid w:val="00233C27"/>
    <w:rsid w:val="002340C5"/>
    <w:rsid w:val="002352C0"/>
    <w:rsid w:val="00235398"/>
    <w:rsid w:val="002353FB"/>
    <w:rsid w:val="002361CC"/>
    <w:rsid w:val="00237975"/>
    <w:rsid w:val="00237FD6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5BE5"/>
    <w:rsid w:val="00246049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DA7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DA6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963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D29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787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32B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B96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1EA"/>
    <w:rsid w:val="00345BE3"/>
    <w:rsid w:val="00345FFD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496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97F06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398E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1DA0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2AB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DDD"/>
    <w:rsid w:val="00481F1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2E57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62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CCA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1C"/>
    <w:rsid w:val="005075F1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0D2E"/>
    <w:rsid w:val="005215F4"/>
    <w:rsid w:val="005216E1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798"/>
    <w:rsid w:val="00536514"/>
    <w:rsid w:val="005368AE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8B5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0CB8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20F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41F"/>
    <w:rsid w:val="00581EE5"/>
    <w:rsid w:val="00582153"/>
    <w:rsid w:val="005821FE"/>
    <w:rsid w:val="00582556"/>
    <w:rsid w:val="005831EF"/>
    <w:rsid w:val="005835E9"/>
    <w:rsid w:val="0058370F"/>
    <w:rsid w:val="00583FFD"/>
    <w:rsid w:val="00585EBA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404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0A06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2BE4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159"/>
    <w:rsid w:val="00611192"/>
    <w:rsid w:val="00611317"/>
    <w:rsid w:val="006119B2"/>
    <w:rsid w:val="006120E4"/>
    <w:rsid w:val="006124FF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2F1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3E2"/>
    <w:rsid w:val="0064681A"/>
    <w:rsid w:val="0064721F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2C4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3903"/>
    <w:rsid w:val="006945D3"/>
    <w:rsid w:val="00694AB0"/>
    <w:rsid w:val="00694B4E"/>
    <w:rsid w:val="00694DD3"/>
    <w:rsid w:val="006956FB"/>
    <w:rsid w:val="0069582A"/>
    <w:rsid w:val="00695E6B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57E"/>
    <w:rsid w:val="006B7A78"/>
    <w:rsid w:val="006B7DC3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A3F"/>
    <w:rsid w:val="006F3C19"/>
    <w:rsid w:val="006F643D"/>
    <w:rsid w:val="006F654C"/>
    <w:rsid w:val="006F6BB5"/>
    <w:rsid w:val="006F6CC3"/>
    <w:rsid w:val="006F6E51"/>
    <w:rsid w:val="006F734A"/>
    <w:rsid w:val="00701EA0"/>
    <w:rsid w:val="007025FD"/>
    <w:rsid w:val="00703080"/>
    <w:rsid w:val="00703B25"/>
    <w:rsid w:val="007040BB"/>
    <w:rsid w:val="00704B4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734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436"/>
    <w:rsid w:val="0072784B"/>
    <w:rsid w:val="00727BC1"/>
    <w:rsid w:val="0073025A"/>
    <w:rsid w:val="00730A33"/>
    <w:rsid w:val="00730C94"/>
    <w:rsid w:val="00731CD6"/>
    <w:rsid w:val="00731DBC"/>
    <w:rsid w:val="00731EE4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0F57"/>
    <w:rsid w:val="0077191B"/>
    <w:rsid w:val="00771E58"/>
    <w:rsid w:val="0077320B"/>
    <w:rsid w:val="00774085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24B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31B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19A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5F06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3B0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5C1"/>
    <w:rsid w:val="008948CF"/>
    <w:rsid w:val="008948F1"/>
    <w:rsid w:val="00894934"/>
    <w:rsid w:val="00894D72"/>
    <w:rsid w:val="00895E52"/>
    <w:rsid w:val="00897674"/>
    <w:rsid w:val="00897765"/>
    <w:rsid w:val="008A019B"/>
    <w:rsid w:val="008A0C5C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52B"/>
    <w:rsid w:val="008B57E4"/>
    <w:rsid w:val="008B5D21"/>
    <w:rsid w:val="008B662B"/>
    <w:rsid w:val="008B6931"/>
    <w:rsid w:val="008B6CE6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845"/>
    <w:rsid w:val="008F0FAD"/>
    <w:rsid w:val="008F1D0F"/>
    <w:rsid w:val="008F1FB6"/>
    <w:rsid w:val="008F21F8"/>
    <w:rsid w:val="008F2AC5"/>
    <w:rsid w:val="008F409E"/>
    <w:rsid w:val="008F45CC"/>
    <w:rsid w:val="008F4B13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17B"/>
    <w:rsid w:val="008F744E"/>
    <w:rsid w:val="008F74BD"/>
    <w:rsid w:val="008F77B8"/>
    <w:rsid w:val="008F7C35"/>
    <w:rsid w:val="009003DE"/>
    <w:rsid w:val="00900527"/>
    <w:rsid w:val="00900745"/>
    <w:rsid w:val="009009F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8B9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CF8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163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625"/>
    <w:rsid w:val="009A1878"/>
    <w:rsid w:val="009A1963"/>
    <w:rsid w:val="009A1A23"/>
    <w:rsid w:val="009A2173"/>
    <w:rsid w:val="009A238B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A71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4F7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0ED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46A8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27B3"/>
    <w:rsid w:val="00A93847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537"/>
    <w:rsid w:val="00AA062E"/>
    <w:rsid w:val="00AA09DE"/>
    <w:rsid w:val="00AA0D5C"/>
    <w:rsid w:val="00AA10E6"/>
    <w:rsid w:val="00AA12CA"/>
    <w:rsid w:val="00AA13BE"/>
    <w:rsid w:val="00AA15A2"/>
    <w:rsid w:val="00AA2611"/>
    <w:rsid w:val="00AA283D"/>
    <w:rsid w:val="00AA2866"/>
    <w:rsid w:val="00AA31D4"/>
    <w:rsid w:val="00AA3F06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55C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96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A12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11D"/>
    <w:rsid w:val="00B012D9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3721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C34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1714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514"/>
    <w:rsid w:val="00B70B50"/>
    <w:rsid w:val="00B716BB"/>
    <w:rsid w:val="00B72987"/>
    <w:rsid w:val="00B72BF9"/>
    <w:rsid w:val="00B72E2E"/>
    <w:rsid w:val="00B731FF"/>
    <w:rsid w:val="00B73331"/>
    <w:rsid w:val="00B733E8"/>
    <w:rsid w:val="00B73B99"/>
    <w:rsid w:val="00B74486"/>
    <w:rsid w:val="00B745D0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6E96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2C81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9A4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1F5"/>
    <w:rsid w:val="00BD7439"/>
    <w:rsid w:val="00BD78E5"/>
    <w:rsid w:val="00BD7EDC"/>
    <w:rsid w:val="00BD7FA3"/>
    <w:rsid w:val="00BE0190"/>
    <w:rsid w:val="00BE0426"/>
    <w:rsid w:val="00BE0AC7"/>
    <w:rsid w:val="00BE118C"/>
    <w:rsid w:val="00BE1B97"/>
    <w:rsid w:val="00BE214D"/>
    <w:rsid w:val="00BE24D7"/>
    <w:rsid w:val="00BE2F1F"/>
    <w:rsid w:val="00BE318C"/>
    <w:rsid w:val="00BE4471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1F75"/>
    <w:rsid w:val="00BF2162"/>
    <w:rsid w:val="00BF2922"/>
    <w:rsid w:val="00BF2D49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A7E"/>
    <w:rsid w:val="00C06C7B"/>
    <w:rsid w:val="00C0734D"/>
    <w:rsid w:val="00C07826"/>
    <w:rsid w:val="00C1001F"/>
    <w:rsid w:val="00C104E8"/>
    <w:rsid w:val="00C1141D"/>
    <w:rsid w:val="00C1242B"/>
    <w:rsid w:val="00C1262D"/>
    <w:rsid w:val="00C1285F"/>
    <w:rsid w:val="00C12DF3"/>
    <w:rsid w:val="00C13234"/>
    <w:rsid w:val="00C137F3"/>
    <w:rsid w:val="00C13861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5EB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0DE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474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0EE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C9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9F5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99"/>
    <w:rsid w:val="00D819C8"/>
    <w:rsid w:val="00D822D0"/>
    <w:rsid w:val="00D82463"/>
    <w:rsid w:val="00D83E4D"/>
    <w:rsid w:val="00D841A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4B1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BEF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04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E"/>
    <w:rsid w:val="00E07C89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CED"/>
    <w:rsid w:val="00E30E21"/>
    <w:rsid w:val="00E31459"/>
    <w:rsid w:val="00E3251E"/>
    <w:rsid w:val="00E32B0C"/>
    <w:rsid w:val="00E33986"/>
    <w:rsid w:val="00E34659"/>
    <w:rsid w:val="00E358BE"/>
    <w:rsid w:val="00E35A54"/>
    <w:rsid w:val="00E35EC0"/>
    <w:rsid w:val="00E36805"/>
    <w:rsid w:val="00E36C4C"/>
    <w:rsid w:val="00E36D40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6EFA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97D77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920"/>
    <w:rsid w:val="00EA4A77"/>
    <w:rsid w:val="00EA4AD5"/>
    <w:rsid w:val="00EA4DA5"/>
    <w:rsid w:val="00EA5087"/>
    <w:rsid w:val="00EA5709"/>
    <w:rsid w:val="00EA5FD0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1A0"/>
    <w:rsid w:val="00ED623C"/>
    <w:rsid w:val="00ED70DA"/>
    <w:rsid w:val="00ED778F"/>
    <w:rsid w:val="00ED7E4A"/>
    <w:rsid w:val="00EE00F7"/>
    <w:rsid w:val="00EE0597"/>
    <w:rsid w:val="00EE06DD"/>
    <w:rsid w:val="00EE18C9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12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2E52"/>
    <w:rsid w:val="00F43043"/>
    <w:rsid w:val="00F4345F"/>
    <w:rsid w:val="00F43577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47431"/>
    <w:rsid w:val="00F47F0C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4E53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16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42C4"/>
    <w:rPr>
      <w:rFonts w:ascii="Tahoma" w:eastAsia="Microsoft YaHei" w:hAnsi="Tahoma"/>
      <w:sz w:val="22"/>
      <w:szCs w:val="22"/>
      <w:lang w:eastAsia="zh-CN"/>
    </w:rPr>
  </w:style>
  <w:style w:type="paragraph" w:customStyle="1" w:styleId="Proposal">
    <w:name w:val="Proposal"/>
    <w:basedOn w:val="Normal"/>
    <w:rsid w:val="00715734"/>
    <w:pPr>
      <w:numPr>
        <w:numId w:val="10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TAN">
    <w:name w:val="TAN"/>
    <w:basedOn w:val="TAL"/>
    <w:rsid w:val="00F3212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86B746-8D14-4FB1-8E0E-35B6ADC81D6A}">
  <ds:schemaRefs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70DA93-8D1F-4C44-A1B9-205B23728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Convida Wireless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Convida Wirelss</dc:creator>
  <cp:keywords/>
  <cp:lastModifiedBy>Zhuo Chen</cp:lastModifiedBy>
  <cp:revision>2</cp:revision>
  <cp:lastPrinted>2017-09-28T18:43:00Z</cp:lastPrinted>
  <dcterms:created xsi:type="dcterms:W3CDTF">2020-10-22T20:58:00Z</dcterms:created>
  <dcterms:modified xsi:type="dcterms:W3CDTF">2020-10-22T20:58:00Z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